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DCC5" w14:textId="77777777" w:rsidR="007F3029" w:rsidRDefault="007F3029" w:rsidP="007F3029">
      <w:pPr>
        <w:tabs>
          <w:tab w:val="left" w:pos="9704"/>
        </w:tabs>
        <w:rPr>
          <w:rtl/>
        </w:rPr>
      </w:pPr>
    </w:p>
    <w:p w14:paraId="07CC03AF" w14:textId="77777777" w:rsidR="007F3029" w:rsidRPr="007F3029" w:rsidRDefault="007F3029" w:rsidP="007F3029">
      <w:pPr>
        <w:rPr>
          <w:rtl/>
        </w:rPr>
      </w:pPr>
    </w:p>
    <w:tbl>
      <w:tblPr>
        <w:tblpPr w:leftFromText="180" w:rightFromText="180" w:vertAnchor="text" w:horzAnchor="margin" w:tblpXSpec="center" w:tblpY="105"/>
        <w:bidiVisual/>
        <w:tblW w:w="6037" w:type="pct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3"/>
        <w:gridCol w:w="66"/>
        <w:gridCol w:w="110"/>
        <w:gridCol w:w="732"/>
        <w:gridCol w:w="887"/>
        <w:gridCol w:w="812"/>
        <w:gridCol w:w="28"/>
        <w:gridCol w:w="638"/>
        <w:gridCol w:w="28"/>
        <w:gridCol w:w="784"/>
        <w:gridCol w:w="26"/>
        <w:gridCol w:w="640"/>
        <w:gridCol w:w="26"/>
        <w:gridCol w:w="36"/>
        <w:gridCol w:w="550"/>
        <w:gridCol w:w="46"/>
        <w:gridCol w:w="58"/>
        <w:gridCol w:w="2981"/>
        <w:gridCol w:w="26"/>
        <w:gridCol w:w="744"/>
        <w:gridCol w:w="36"/>
        <w:gridCol w:w="582"/>
        <w:gridCol w:w="24"/>
        <w:gridCol w:w="36"/>
        <w:gridCol w:w="80"/>
      </w:tblGrid>
      <w:tr w:rsidR="007F3029" w:rsidRPr="00B0171F" w14:paraId="6D2F3DCD" w14:textId="77777777" w:rsidTr="007F3029">
        <w:trPr>
          <w:gridBefore w:val="3"/>
          <w:wBefore w:w="114" w:type="pct"/>
          <w:trHeight w:val="183"/>
        </w:trPr>
        <w:tc>
          <w:tcPr>
            <w:tcW w:w="488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7D9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F3029" w:rsidRPr="00B0171F" w14:paraId="125EF3B5" w14:textId="77777777" w:rsidTr="007F3029">
        <w:trPr>
          <w:gridBefore w:val="3"/>
          <w:wBefore w:w="114" w:type="pct"/>
          <w:trHeight w:val="183"/>
        </w:trPr>
        <w:tc>
          <w:tcPr>
            <w:tcW w:w="488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D3AA" w14:textId="77777777" w:rsidR="007F3029" w:rsidRPr="00B0171F" w:rsidRDefault="007F3029" w:rsidP="007F3029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תמצית הדוחות הכספיים לשנת 2019</w:t>
            </w:r>
          </w:p>
        </w:tc>
      </w:tr>
      <w:tr w:rsidR="007F3029" w:rsidRPr="00B0171F" w14:paraId="35433610" w14:textId="77777777" w:rsidTr="007F3029">
        <w:trPr>
          <w:gridBefore w:val="3"/>
          <w:wBefore w:w="114" w:type="pct"/>
          <w:trHeight w:val="183"/>
        </w:trPr>
        <w:tc>
          <w:tcPr>
            <w:tcW w:w="488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1D26" w14:textId="77777777" w:rsidR="007F3029" w:rsidRPr="00B0171F" w:rsidRDefault="007F3029" w:rsidP="007F3029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(באלפי ש"ח)</w:t>
            </w:r>
          </w:p>
        </w:tc>
      </w:tr>
      <w:tr w:rsidR="007F3029" w:rsidRPr="00B0171F" w14:paraId="19E6795F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D5EE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מספר תושבים שנה קודמת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0EA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31,912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455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A2E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17C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9B5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354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4C3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EA2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05E9112B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EDC1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מספר תושבים *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E07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33,508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85BA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שטח שיפוט (דונם)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044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195,500</w:t>
            </w:r>
          </w:p>
        </w:tc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7A6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534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C70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4F7532EA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45F5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מספר משקי בית 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AFB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12,070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7537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דירוג סוציואקונומי 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9D3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</w:t>
            </w:r>
          </w:p>
        </w:tc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1A5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FB4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C3A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2437EF75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29E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562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5B8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34D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098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0E9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4CD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A99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362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AC1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03E3B2E0" w14:textId="77777777" w:rsidTr="007F3029">
        <w:trPr>
          <w:gridBefore w:val="2"/>
          <w:gridAfter w:val="1"/>
          <w:wBefore w:w="59" w:type="pct"/>
          <w:wAfter w:w="41" w:type="pct"/>
          <w:trHeight w:val="61"/>
        </w:trPr>
        <w:tc>
          <w:tcPr>
            <w:tcW w:w="236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3413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נתוני ביצוע התקציב הרגיל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4D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2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5ED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מאזן</w:t>
            </w:r>
          </w:p>
        </w:tc>
      </w:tr>
      <w:tr w:rsidR="007F3029" w:rsidRPr="00B0171F" w14:paraId="4D429BDC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1F645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הכנסות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8610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תקציב 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FB37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ביצוע 2019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39EE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4E3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ביצוע 2018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C91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CAD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EAAD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נכסים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C98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7830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2018</w:t>
            </w:r>
          </w:p>
        </w:tc>
      </w:tr>
      <w:tr w:rsidR="007F3029" w:rsidRPr="00B0171F" w14:paraId="59B50F34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194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 xml:space="preserve">הכנסות עצמיות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377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172,660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DFE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185,971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E322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65.71%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61F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171,901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5AE4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65.75%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9BD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7E1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רכוש שוטף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34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46,062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C5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40,476</w:t>
            </w:r>
          </w:p>
        </w:tc>
      </w:tr>
      <w:tr w:rsidR="007F3029" w:rsidRPr="00B0171F" w14:paraId="1805F84D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14D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השתת' משרד החינוך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17A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64,619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1BF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69,123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9257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24.42%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1BF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50,669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FC7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19.38%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037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7CB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השקעות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76E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76,002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C7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68,345</w:t>
            </w:r>
          </w:p>
        </w:tc>
      </w:tr>
      <w:tr w:rsidR="007F3029" w:rsidRPr="00B0171F" w14:paraId="0001E9C2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4F0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 xml:space="preserve">השתת' משרד הרווחה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B99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15,823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F89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17,907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CD69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6.33%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FCD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17,306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A83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6.62%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433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958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השקעות לכיסוי קרנות מתוקצבות ואחרות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370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8,062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0ED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16,469</w:t>
            </w:r>
          </w:p>
        </w:tc>
      </w:tr>
      <w:tr w:rsidR="007F3029" w:rsidRPr="00B0171F" w14:paraId="7CDF35C3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6BE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השתת' משרדי ממשלה אחרים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42A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3,848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18E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3,118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CD27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1.10%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215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17,584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EE15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6.73%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6F8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4F7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2B0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35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0AD42F51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816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מענקים ומלוות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7D1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2,450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E7A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6,899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5393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2.44%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F210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3,977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7989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1.52%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751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5BB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12D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4F2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70BA8127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F23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סה"כ</w:t>
            </w:r>
          </w:p>
        </w:tc>
        <w:tc>
          <w:tcPr>
            <w:tcW w:w="4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263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259,400</w:t>
            </w:r>
          </w:p>
        </w:tc>
        <w:tc>
          <w:tcPr>
            <w:tcW w:w="4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A81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283,018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0B9F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100.00%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973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261,437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67A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100.00%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E0F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A0D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6A5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B1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7986D034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A92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444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AB4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ED6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791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083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955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44E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סה"כ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6BD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130,126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E5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125,290</w:t>
            </w:r>
          </w:p>
        </w:tc>
      </w:tr>
      <w:tr w:rsidR="007F3029" w:rsidRPr="00B0171F" w14:paraId="5BE29B2C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E4F1B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הוצאות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8E29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תקציב 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7C15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ביצוע 2019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0C8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0A75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ביצוע 2018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091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97C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BAD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5BC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92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3DEDE81D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CC1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משכורות ושכר כללי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5CE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32,808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C52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33,304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636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11.82%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B12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31,664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0A34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12.12%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343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458D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התחייבויות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F9C7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3309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2018</w:t>
            </w:r>
          </w:p>
        </w:tc>
      </w:tr>
      <w:tr w:rsidR="007F3029" w:rsidRPr="00B0171F" w14:paraId="2E1AEF35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868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פעולות אחרות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319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86,808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848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97,960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6053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34.77%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20D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87,185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16B9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33.39%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94A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44D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התחייבויות שוטפות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260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36,154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7A9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30,569</w:t>
            </w:r>
          </w:p>
        </w:tc>
      </w:tr>
      <w:tr w:rsidR="007F3029" w:rsidRPr="00B0171F" w14:paraId="69544962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989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שכר חינוך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F9D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50,924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33B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53,395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3345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18.95%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9E6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50,415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BCED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19.31%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973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8E3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C1A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A9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3E918938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319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פעולות חינוך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FA1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55,799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4F5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61,679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BB0F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21.89%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DFC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57,686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B684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22.09%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EA2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C52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קרן לעבודות פיתוח ואחרות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9EB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18,934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B10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32,228</w:t>
            </w:r>
          </w:p>
        </w:tc>
      </w:tr>
      <w:tr w:rsidR="007F3029" w:rsidRPr="00B0171F" w14:paraId="5CB192E7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0DF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שכר רווחה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E11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9,233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502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9,303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E076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3.30%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CA2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9,086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E32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3.48%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209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5C6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קרנות מתוקצבות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EE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8,062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AEB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16,469</w:t>
            </w:r>
          </w:p>
        </w:tc>
      </w:tr>
      <w:tr w:rsidR="007F3029" w:rsidRPr="00B0171F" w14:paraId="4188B9C9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9DA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פעולות רווחה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110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17,868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78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20,616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FD1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7.32%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15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19,093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6CD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7.31%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8DA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F7C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עודף מצטבר בתקציב הרגיל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DC2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9,908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B0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9,907</w:t>
            </w:r>
          </w:p>
        </w:tc>
      </w:tr>
      <w:tr w:rsidR="007F3029" w:rsidRPr="00B0171F" w14:paraId="39A71449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2BF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מימון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45D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1,330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A35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1,207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2BD4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0.43%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3B1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1,730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105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0.66%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7EF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D14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 xml:space="preserve">עודפים זמניים נטו </w:t>
            </w:r>
            <w:proofErr w:type="spellStart"/>
            <w:r w:rsidRPr="00B0171F">
              <w:rPr>
                <w:rFonts w:ascii="David" w:hAnsi="David"/>
                <w:sz w:val="18"/>
                <w:szCs w:val="18"/>
                <w:rtl/>
              </w:rPr>
              <w:t>בתב"ר</w:t>
            </w:r>
            <w:proofErr w:type="spellEnd"/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34B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57,068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B16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36,117</w:t>
            </w:r>
          </w:p>
        </w:tc>
      </w:tr>
      <w:tr w:rsidR="007F3029" w:rsidRPr="00B0171F" w14:paraId="3C92B8F1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1A1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proofErr w:type="spellStart"/>
            <w:r w:rsidRPr="00B0171F">
              <w:rPr>
                <w:rFonts w:ascii="David" w:hAnsi="David"/>
                <w:sz w:val="18"/>
                <w:szCs w:val="18"/>
                <w:rtl/>
              </w:rPr>
              <w:t>פרעון</w:t>
            </w:r>
            <w:proofErr w:type="spellEnd"/>
            <w:r w:rsidRPr="00B0171F">
              <w:rPr>
                <w:rFonts w:ascii="David" w:hAnsi="David"/>
                <w:sz w:val="18"/>
                <w:szCs w:val="18"/>
                <w:rtl/>
              </w:rPr>
              <w:t xml:space="preserve"> מלוות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FCC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4,630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AFF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4,303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933B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1.53%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D20B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4,289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87C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1.64%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077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CC0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סה"כ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1A4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130,126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20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125,290</w:t>
            </w:r>
          </w:p>
        </w:tc>
      </w:tr>
      <w:tr w:rsidR="007F3029" w:rsidRPr="00B0171F" w14:paraId="630F0089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C83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סה"כ</w:t>
            </w:r>
          </w:p>
        </w:tc>
        <w:tc>
          <w:tcPr>
            <w:tcW w:w="4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0D6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259,400</w:t>
            </w:r>
          </w:p>
        </w:tc>
        <w:tc>
          <w:tcPr>
            <w:tcW w:w="4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80E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281,767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5516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100.00%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17E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261,148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DA4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100.00%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5A2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7DC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1FD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26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1A63BE1C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7D7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BF3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3BB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8F1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B85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BA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89F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9A9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B45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BEB3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2018</w:t>
            </w:r>
          </w:p>
        </w:tc>
      </w:tr>
      <w:tr w:rsidR="007F3029" w:rsidRPr="00B0171F" w14:paraId="14A64F97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ECE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עודף בשנת הדוח</w:t>
            </w:r>
          </w:p>
        </w:tc>
        <w:tc>
          <w:tcPr>
            <w:tcW w:w="4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EEC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286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1,251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B92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326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289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D2C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51A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C3E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עומס מלוות לסוף שנה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F98F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10,925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D30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14,331</w:t>
            </w:r>
          </w:p>
        </w:tc>
      </w:tr>
      <w:tr w:rsidR="007F3029" w:rsidRPr="00B0171F" w14:paraId="44BE5900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7FEC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684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E81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112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960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5F5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DF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u w:val="single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012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C3E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2F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3EB84578" w14:textId="77777777" w:rsidTr="007F3029">
        <w:trPr>
          <w:gridBefore w:val="3"/>
          <w:wBefore w:w="114" w:type="pct"/>
          <w:trHeight w:val="183"/>
        </w:trPr>
        <w:tc>
          <w:tcPr>
            <w:tcW w:w="488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2B8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69E0CC44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DDB7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54E1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08FC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B62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449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652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F67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2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16E3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דוח גביה וחייבים - ארנונה</w:t>
            </w:r>
          </w:p>
        </w:tc>
      </w:tr>
      <w:tr w:rsidR="007F3029" w:rsidRPr="00B0171F" w14:paraId="7B446B00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49A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9784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6DCF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634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AD2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9B1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7B9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957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A32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87E6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2018</w:t>
            </w:r>
          </w:p>
        </w:tc>
      </w:tr>
      <w:tr w:rsidR="007F3029" w:rsidRPr="00B0171F" w14:paraId="0B19601C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E72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51ED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E8FD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D6F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F17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53C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A75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B67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יתרת חוב לתחילת השנה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780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12,754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6FF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14,518</w:t>
            </w:r>
          </w:p>
        </w:tc>
      </w:tr>
      <w:tr w:rsidR="007F3029" w:rsidRPr="00B0171F" w14:paraId="298B9504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B6C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% עומס המלוות מההכנסה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1C96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3.86%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3DD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5.48%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BFB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F92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347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B21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1BC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חיוב השנה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F32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112,989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3B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103,459</w:t>
            </w:r>
          </w:p>
        </w:tc>
      </w:tr>
      <w:tr w:rsidR="007F3029" w:rsidRPr="00B0171F" w14:paraId="5C2EC875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936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% סך ההתחייבויות מההכנסה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478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12.77%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438" w14:textId="77777777" w:rsidR="007F3029" w:rsidRPr="00B0171F" w:rsidRDefault="007F3029" w:rsidP="007F3029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</w:rPr>
              <w:t>11.69%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B65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487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8FC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D41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FD1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הנחות ופטורים שניתנו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456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(15,465)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E4D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(15,580)</w:t>
            </w:r>
          </w:p>
        </w:tc>
      </w:tr>
      <w:tr w:rsidR="007F3029" w:rsidRPr="00B0171F" w14:paraId="0092ED39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297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הוצאה ממוצעת לנפש בש"ח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FDF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8,409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F17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8,183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908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DE7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2BC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8C7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B84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העברה לחובות מסופקים וחובות למחיקה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553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(1,672)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741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232</w:t>
            </w:r>
          </w:p>
        </w:tc>
      </w:tr>
      <w:tr w:rsidR="007F3029" w:rsidRPr="00B0171F" w14:paraId="16B20FB4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61E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מספר משרות ממוצע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90C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247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FF4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245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7A7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3D7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B8F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1E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D47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סך לגביה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5FAD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108,606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B28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102,629</w:t>
            </w:r>
          </w:p>
        </w:tc>
      </w:tr>
      <w:tr w:rsidR="007F3029" w:rsidRPr="00B0171F" w14:paraId="052F266E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1194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703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4DE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C76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7EA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78C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29C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F1A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גביה בשנת הדוח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F073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96,490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DBF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89,875</w:t>
            </w:r>
          </w:p>
        </w:tc>
      </w:tr>
      <w:tr w:rsidR="007F3029" w:rsidRPr="00B0171F" w14:paraId="110A46A0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0CB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E8FB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9BA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57E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BA3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C70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966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D9B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יתרת חוב לסוף השנה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46EE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12,116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F31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12,754</w:t>
            </w:r>
          </w:p>
        </w:tc>
      </w:tr>
      <w:tr w:rsidR="007F3029" w:rsidRPr="00B0171F" w14:paraId="1CF36E92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2A3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3B6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937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2D2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DA6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915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387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8EE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חובות מסופקים וחובות למחיקה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84BE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3,955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FC7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2,283</w:t>
            </w:r>
          </w:p>
        </w:tc>
      </w:tr>
      <w:tr w:rsidR="007F3029" w:rsidRPr="00B0171F" w14:paraId="7B54BFFD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926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8E0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310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F57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D63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926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9F6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130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סה"כ יתרות לסוף שנה כולל חובות מסופקים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EC1B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16,071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541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15,037</w:t>
            </w:r>
          </w:p>
        </w:tc>
      </w:tr>
      <w:tr w:rsidR="007F3029" w:rsidRPr="00B0171F" w14:paraId="2E8BC181" w14:textId="77777777" w:rsidTr="007F3029">
        <w:trPr>
          <w:gridBefore w:val="1"/>
          <w:gridAfter w:val="2"/>
          <w:wBefore w:w="26" w:type="pct"/>
          <w:wAfter w:w="58" w:type="pct"/>
          <w:trHeight w:val="183"/>
        </w:trPr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41A5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נתוני ביצוע  התקציב הבלתי רגיל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572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F83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9E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211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2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10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אחוז גביה מהפיגורים (*)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F5D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57%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52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39%</w:t>
            </w:r>
          </w:p>
        </w:tc>
      </w:tr>
      <w:tr w:rsidR="007F3029" w:rsidRPr="00B0171F" w14:paraId="0F367BF6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B37C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6C76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A49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004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A05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1F6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53F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190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אחוז גביה מהשוטף (*)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D4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93%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54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95%</w:t>
            </w:r>
          </w:p>
        </w:tc>
      </w:tr>
      <w:tr w:rsidR="007F3029" w:rsidRPr="00B0171F" w14:paraId="38E5F77D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401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עודף (גרעון) זמני לתחילת השנה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B2C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36,117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32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33,144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2B6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DC2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78B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04C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18E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יחס הגביה לחוב הכולל (*)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DCB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89%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67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88%</w:t>
            </w:r>
          </w:p>
        </w:tc>
      </w:tr>
      <w:tr w:rsidR="007F3029" w:rsidRPr="00B0171F" w14:paraId="64DD3EA7" w14:textId="77777777" w:rsidTr="007F3029">
        <w:trPr>
          <w:gridAfter w:val="3"/>
          <w:wAfter w:w="73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597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תקבולים במהלך השנה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090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123,082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AFA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80,619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55C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0D5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65E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F13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6BF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ממוצע ארנונה למגורים למ"ר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463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7123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39</w:t>
            </w:r>
          </w:p>
        </w:tc>
      </w:tr>
      <w:tr w:rsidR="007F3029" w:rsidRPr="00B0171F" w14:paraId="7585C70E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7EF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תשלומים במהלך השנה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70B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102,131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B4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77,646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EE3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8F1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925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2996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2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1237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(*) השיעורים מחושבים ללא חובות מסופקים וחובות למחיקה.</w:t>
            </w:r>
          </w:p>
        </w:tc>
      </w:tr>
      <w:tr w:rsidR="007F3029" w:rsidRPr="00B0171F" w14:paraId="0F0F9B2C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66B0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עודף (גרעון) זמני לסוף השנה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387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57,068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0959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36,117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716C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25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3120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59E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3B5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5CE528A1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AD6A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B1D2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97DD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B334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BB6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255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BB94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E4D8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  <w:tr w:rsidR="007F3029" w:rsidRPr="00B0171F" w14:paraId="498CF640" w14:textId="77777777" w:rsidTr="007F3029">
        <w:trPr>
          <w:gridAfter w:val="3"/>
          <w:wAfter w:w="72" w:type="pct"/>
          <w:trHeight w:val="183"/>
        </w:trPr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938F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*נכון לחודש אוקטובר 2019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C471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07AE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75F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  <w:tc>
          <w:tcPr>
            <w:tcW w:w="29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E003" w14:textId="77777777" w:rsidR="007F3029" w:rsidRPr="00B0171F" w:rsidRDefault="007F3029" w:rsidP="007F3029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b/>
                <w:bCs/>
                <w:sz w:val="18"/>
                <w:szCs w:val="18"/>
                <w:rtl/>
              </w:rPr>
              <w:t>תקציב הרשות אושר על ידי משרד הפנים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D325" w14:textId="77777777" w:rsidR="007F3029" w:rsidRPr="00B0171F" w:rsidRDefault="007F3029" w:rsidP="007F3029">
            <w:pPr>
              <w:rPr>
                <w:rFonts w:ascii="David" w:hAnsi="David"/>
                <w:sz w:val="18"/>
                <w:szCs w:val="18"/>
                <w:rtl/>
              </w:rPr>
            </w:pPr>
            <w:r w:rsidRPr="00B0171F">
              <w:rPr>
                <w:rFonts w:ascii="David" w:hAnsi="David"/>
                <w:sz w:val="18"/>
                <w:szCs w:val="18"/>
                <w:rtl/>
              </w:rPr>
              <w:t> </w:t>
            </w:r>
          </w:p>
        </w:tc>
      </w:tr>
    </w:tbl>
    <w:p w14:paraId="3B4D26CF" w14:textId="77777777" w:rsidR="007F3029" w:rsidRPr="007F3029" w:rsidRDefault="007F3029" w:rsidP="007F3029">
      <w:pPr>
        <w:rPr>
          <w:rtl/>
        </w:rPr>
      </w:pPr>
    </w:p>
    <w:sectPr w:rsidR="007F3029" w:rsidRPr="007F3029" w:rsidSect="007F3029">
      <w:pgSz w:w="11906" w:h="16838"/>
      <w:pgMar w:top="284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4D"/>
    <w:rsid w:val="003125D8"/>
    <w:rsid w:val="00650310"/>
    <w:rsid w:val="00780119"/>
    <w:rsid w:val="007F3029"/>
    <w:rsid w:val="00BA7B4D"/>
    <w:rsid w:val="00C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36F4"/>
  <w15:chartTrackingRefBased/>
  <w15:docId w15:val="{CA473284-021D-4B99-9F1D-EB875789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4D"/>
    <w:pPr>
      <w:bidi/>
      <w:spacing w:after="0" w:line="240" w:lineRule="auto"/>
    </w:pPr>
    <w:rPr>
      <w:rFonts w:ascii="Times New Roman" w:eastAsia="Times New Roman" w:hAnsi="Times New Roman" w:cs="David"/>
      <w:lang w:eastAsia="he-IL"/>
    </w:rPr>
  </w:style>
  <w:style w:type="paragraph" w:styleId="2">
    <w:name w:val="heading 2"/>
    <w:basedOn w:val="a"/>
    <w:next w:val="a"/>
    <w:link w:val="20"/>
    <w:qFormat/>
    <w:rsid w:val="00BA7B4D"/>
    <w:pPr>
      <w:keepNext/>
      <w:spacing w:after="60"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BA7B4D"/>
    <w:rPr>
      <w:rFonts w:ascii="Times New Roman" w:eastAsia="Times New Roman" w:hAnsi="Times New Roman" w:cs="David"/>
      <w:b/>
      <w:bCs/>
      <w:u w:val="single"/>
      <w:lang w:eastAsia="he-IL"/>
    </w:rPr>
  </w:style>
  <w:style w:type="paragraph" w:styleId="a3">
    <w:name w:val="Title"/>
    <w:basedOn w:val="a"/>
    <w:next w:val="2"/>
    <w:link w:val="a4"/>
    <w:qFormat/>
    <w:rsid w:val="00BA7B4D"/>
    <w:pPr>
      <w:pageBreakBefore/>
      <w:jc w:val="right"/>
      <w:outlineLvl w:val="0"/>
    </w:pPr>
    <w:rPr>
      <w:b/>
      <w:bCs/>
      <w:kern w:val="28"/>
      <w:szCs w:val="20"/>
      <w:u w:val="single"/>
    </w:rPr>
  </w:style>
  <w:style w:type="character" w:customStyle="1" w:styleId="a4">
    <w:name w:val="כותרת טקסט תו"/>
    <w:basedOn w:val="a0"/>
    <w:link w:val="a3"/>
    <w:rsid w:val="00BA7B4D"/>
    <w:rPr>
      <w:rFonts w:ascii="Times New Roman" w:eastAsia="Times New Roman" w:hAnsi="Times New Roman" w:cs="David"/>
      <w:b/>
      <w:bCs/>
      <w:kern w:val="28"/>
      <w:szCs w:val="20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enav</dc:creator>
  <cp:keywords/>
  <dc:description/>
  <cp:lastModifiedBy>enav</cp:lastModifiedBy>
  <cp:revision>2</cp:revision>
  <dcterms:created xsi:type="dcterms:W3CDTF">2021-01-15T07:10:00Z</dcterms:created>
  <dcterms:modified xsi:type="dcterms:W3CDTF">2021-01-15T07:13:00Z</dcterms:modified>
</cp:coreProperties>
</file>